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828800" cy="381000"/>
            <wp:docPr id="1" name="Picture 1"/>
            <wp:cNvGraphicFramePr>
              <a:graphicFrameLocks noChangeAspect="1"/>
            </wp:cNvGraphicFramePr>
            <a:graphic>
              <a:graphicData uri="http://schemas.openxmlformats.org/drawingml/2006/picture">
                <pic:pic>
                  <pic:nvPicPr>
                    <pic:cNvPr id="0" name="fluxforce-logo.png"/>
                    <pic:cNvPicPr/>
                  </pic:nvPicPr>
                  <pic:blipFill>
                    <a:blip r:embed="rId9"/>
                    <a:stretch>
                      <a:fillRect/>
                    </a:stretch>
                  </pic:blipFill>
                  <pic:spPr>
                    <a:xfrm>
                      <a:off x="0" y="0"/>
                      <a:ext cx="1828800" cy="381000"/>
                    </a:xfrm>
                    <a:prstGeom prst="rect"/>
                  </pic:spPr>
                </pic:pic>
              </a:graphicData>
            </a:graphic>
          </wp:inline>
        </w:drawing>
      </w:r>
    </w:p>
    <w:p>
      <w:pPr>
        <w:pStyle w:val="Title"/>
      </w:pPr>
      <w:r>
        <w:t>MLRO Handover Checklist</w:t>
      </w:r>
    </w:p>
    <w:p>
      <w:r>
        <w:rPr>
          <w:i/>
        </w:rPr>
        <w:t>Anti-Money Laundering Compliance Handover Documentation</w:t>
      </w:r>
    </w:p>
    <w:p>
      <w:r>
        <w:t>This checklist supports the formal handover of the Money Laundering Reporting Officer (MLRO) role from an outgoing incumbent to an incoming appointee. It captures the full scope of AML/CFT responsibilities, live obligations, open matters, and institutional knowledge required for regulatory continuity. Both parties should sign off each section. Retain a completed copy on the compliance file for at least five years or as required by applicable law.</w:t>
      </w:r>
    </w:p>
    <w:p>
      <w:r>
        <w:rPr>
          <w:sz w:val="18"/>
        </w:rPr>
        <w:t>Prepared with FluxForce. Edit the fields below for your institution.</w:t>
      </w:r>
    </w:p>
    <w:p>
      <w:pPr>
        <w:pStyle w:val="Heading1"/>
      </w:pPr>
      <w:r>
        <w:t>1. Handover Parties and General Information</w:t>
      </w:r>
    </w:p>
    <w:p>
      <w:r>
        <w:rPr>
          <w:i/>
          <w:sz w:val="18"/>
        </w:rPr>
        <w:t>Complete all fields in full. Both the outgoing and incoming MLRO must confirm accuracy before proceeding. Where a gap exists between departure and appointment, note the interim cover arrangement and the name of any delegated deputy MLRO.</w:t>
      </w:r>
    </w:p>
    <w:p>
      <w:r>
        <w:rPr>
          <w:b/>
        </w:rPr>
        <w:t xml:space="preserve">Institution name: </w:t>
      </w:r>
      <w:r>
        <w:t>________________________________________</w:t>
      </w:r>
    </w:p>
    <w:p>
      <w:r>
        <w:rPr>
          <w:b/>
        </w:rPr>
        <w:t xml:space="preserve">Registered address: </w:t>
      </w:r>
      <w:r>
        <w:t>________________________________________</w:t>
      </w:r>
    </w:p>
    <w:p>
      <w:r>
        <w:rPr>
          <w:b/>
        </w:rPr>
        <w:t xml:space="preserve">Primary regulator and reference number: </w:t>
      </w:r>
      <w:r>
        <w:t>________________________________________</w:t>
      </w:r>
    </w:p>
    <w:p>
      <w:r>
        <w:rPr>
          <w:b/>
        </w:rPr>
        <w:t xml:space="preserve">Outgoing MLRO full name: </w:t>
      </w:r>
      <w:r>
        <w:t>________________________________________</w:t>
      </w:r>
    </w:p>
    <w:p>
      <w:r>
        <w:rPr>
          <w:b/>
        </w:rPr>
        <w:t xml:space="preserve">Outgoing MLRO date of appointment: </w:t>
      </w:r>
      <w:r>
        <w:t>________________________________________</w:t>
      </w:r>
    </w:p>
    <w:p>
      <w:r>
        <w:rPr>
          <w:b/>
        </w:rPr>
        <w:t xml:space="preserve">Outgoing MLRO last effective date: </w:t>
      </w:r>
      <w:r>
        <w:t>________________________________________</w:t>
      </w:r>
    </w:p>
    <w:p>
      <w:r>
        <w:rPr>
          <w:b/>
        </w:rPr>
        <w:t xml:space="preserve">Incoming MLRO full name: </w:t>
      </w:r>
      <w:r>
        <w:t>________________________________________</w:t>
      </w:r>
    </w:p>
    <w:p>
      <w:r>
        <w:rPr>
          <w:b/>
        </w:rPr>
        <w:t xml:space="preserve">Incoming MLRO date of formal appointment: </w:t>
      </w:r>
      <w:r>
        <w:t>________________________________________</w:t>
      </w:r>
    </w:p>
    <w:p>
      <w:r>
        <w:rPr>
          <w:b/>
        </w:rPr>
        <w:t xml:space="preserve">Regulator notification reference (if applicable): </w:t>
      </w:r>
      <w:r>
        <w:t>________________________________________</w:t>
      </w:r>
    </w:p>
    <w:p>
      <w:r>
        <w:rPr>
          <w:b/>
        </w:rPr>
        <w:t xml:space="preserve">Interim MLRO or deputy cover (name and period): </w:t>
      </w:r>
      <w:r>
        <w:t>________________________________________</w:t>
      </w:r>
    </w:p>
    <w:p>
      <w:r>
        <w:rPr>
          <w:b/>
        </w:rPr>
        <w:t xml:space="preserve">Date checklist completed: </w:t>
      </w:r>
      <w:r>
        <w:t>________________________________________</w:t>
      </w:r>
    </w:p>
    <w:p>
      <w:r>
        <w:rPr>
          <w:b/>
        </w:rPr>
        <w:t xml:space="preserve">Date of handover meeting: </w:t>
      </w:r>
      <w:r>
        <w:t>________________________________________</w:t>
      </w:r>
    </w:p>
    <w:p>
      <w:pPr>
        <w:pStyle w:val="Heading1"/>
      </w:pPr>
      <w:r>
        <w:t>2. Regulatory Registrations and Approvals</w:t>
      </w:r>
    </w:p>
    <w:p>
      <w:r>
        <w:rPr>
          <w:i/>
          <w:sz w:val="18"/>
        </w:rPr>
        <w:t>Confirm that all required regulatory approvals, fit-and-proper assessments, and notifications have been completed for the incoming MLRO. Note any outstanding submissions and their expected resolution dates. Reference applicable frameworks including FATF Recommendations 15 and 18, FCA SUP 10C, OCC 12 CFR Part 21, or national transpositions of the EU Sixth AML Directive as relevant.</w:t>
      </w:r>
    </w:p>
    <w:p>
      <w:pPr>
        <w:pStyle w:val="ListBullet"/>
      </w:pPr>
      <w:r>
        <w:t>Incoming MLRO approved/notified to primary regulator (date and reference noted)</w:t>
      </w:r>
    </w:p>
    <w:p>
      <w:pPr>
        <w:pStyle w:val="ListBullet"/>
      </w:pPr>
      <w:r>
        <w:t>Fit-and-proper or senior management function assessment completed</w:t>
      </w:r>
    </w:p>
    <w:p>
      <w:pPr>
        <w:pStyle w:val="ListBullet"/>
      </w:pPr>
      <w:r>
        <w:t>Any secondary regulator notifications completed (e.g., FCA, PRA, FinCEN, local FIU)</w:t>
      </w:r>
    </w:p>
    <w:p>
      <w:pPr>
        <w:pStyle w:val="ListBullet"/>
      </w:pPr>
      <w:r>
        <w:t>Group-level MLRO or head-office notification completed where applicable</w:t>
      </w:r>
    </w:p>
    <w:p>
      <w:pPr>
        <w:pStyle w:val="ListBullet"/>
      </w:pPr>
      <w:r>
        <w:t>Previous MLRO removal/resignation formally notified to regulator</w:t>
      </w:r>
    </w:p>
    <w:p>
      <w:pPr>
        <w:pStyle w:val="ListBullet"/>
      </w:pPr>
      <w:r>
        <w:t>Approved person or controller register updated</w:t>
      </w:r>
    </w:p>
    <w:p>
      <w:pPr>
        <w:pStyle w:val="ListBullet"/>
      </w:pPr>
      <w:r>
        <w:t>Internal governance records updated (board minutes, committee terms of reference)</w:t>
      </w:r>
    </w:p>
    <w:p>
      <w:pPr>
        <w:pStyle w:val="ListBullet"/>
      </w:pPr>
      <w:r>
        <w:t>HR file updated with new role designation</w:t>
      </w:r>
    </w:p>
    <w:p>
      <w:r>
        <w:rPr>
          <w:b/>
        </w:rPr>
        <w:t xml:space="preserve">Regulator notification date: </w:t>
      </w:r>
      <w:r>
        <w:t>________________________________________</w:t>
      </w:r>
    </w:p>
    <w:p>
      <w:r>
        <w:rPr>
          <w:b/>
        </w:rPr>
        <w:t xml:space="preserve">Notification reference number: </w:t>
      </w:r>
      <w:r>
        <w:t>________________________________________</w:t>
      </w:r>
    </w:p>
    <w:p>
      <w:r>
        <w:rPr>
          <w:b/>
        </w:rPr>
        <w:t xml:space="preserve">Approved person / SMF number (if applicable): </w:t>
      </w:r>
      <w:r>
        <w:t>________________________________________</w:t>
      </w:r>
    </w:p>
    <w:p>
      <w:r>
        <w:rPr>
          <w:b/>
        </w:rPr>
        <w:t xml:space="preserve">Date board or audit committee notified: </w:t>
      </w:r>
      <w:r>
        <w:t>________________________________________</w:t>
      </w:r>
    </w:p>
    <w:p>
      <w:r>
        <w:rPr>
          <w:b/>
        </w:rPr>
        <w:t xml:space="preserve">Outstanding submissions and expected completion date: </w:t>
      </w:r>
      <w:r>
        <w:t>________________________________________</w:t>
      </w:r>
    </w:p>
    <w:p>
      <w:pPr>
        <w:pStyle w:val="Heading1"/>
      </w:pPr>
      <w:r>
        <w:t>3. AML/CFT Policy and Procedure Framework</w:t>
      </w:r>
    </w:p>
    <w:p>
      <w:r>
        <w:rPr>
          <w:i/>
          <w:sz w:val="18"/>
        </w:rPr>
        <w:t>Transfer ownership of all core AML/CFT documentation. The incoming MLRO must review each document for currency and fitness for purpose within 30 days of appointment. FATF Recommendation 1 requires a risk-based approach underpinned by documented policies. EU AMLD Article 8 and FinCEN/FFIEC BSA examination procedures require written policies approved at senior level.</w:t>
      </w:r>
    </w:p>
    <w:p>
      <w:pPr>
        <w:pStyle w:val="ListBullet"/>
      </w:pPr>
      <w:r>
        <w:t>AML/CFT Policy reviewed and ownership transferred</w:t>
      </w:r>
    </w:p>
    <w:p>
      <w:pPr>
        <w:pStyle w:val="ListBullet"/>
      </w:pPr>
      <w:r>
        <w:t>Customer Due Diligence (CDD) and Enhanced Due Diligence (EDD) procedures current</w:t>
      </w:r>
    </w:p>
    <w:p>
      <w:pPr>
        <w:pStyle w:val="ListBullet"/>
      </w:pPr>
      <w:r>
        <w:t>Suspicious Activity Report (SAR) / Suspicious Transaction Report (STR) procedures current</w:t>
      </w:r>
    </w:p>
    <w:p>
      <w:pPr>
        <w:pStyle w:val="ListBullet"/>
      </w:pPr>
      <w:r>
        <w:t>Sanctions screening policy and escalation procedures current</w:t>
      </w:r>
    </w:p>
    <w:p>
      <w:pPr>
        <w:pStyle w:val="ListBullet"/>
      </w:pPr>
      <w:r>
        <w:t>Politically Exposed Person (PEP) policy current</w:t>
      </w:r>
    </w:p>
    <w:p>
      <w:pPr>
        <w:pStyle w:val="ListBullet"/>
      </w:pPr>
      <w:r>
        <w:t>Correspondent banking and wire transfer policy current (FATF R.13, R.16)</w:t>
      </w:r>
    </w:p>
    <w:p>
      <w:pPr>
        <w:pStyle w:val="ListBullet"/>
      </w:pPr>
      <w:r>
        <w:t>Transaction monitoring policy and alert threshold documentation current</w:t>
      </w:r>
    </w:p>
    <w:p>
      <w:pPr>
        <w:pStyle w:val="ListBullet"/>
      </w:pPr>
      <w:r>
        <w:t>Record-keeping and data retention policy current (minimum 5 years per FATF R.11)</w:t>
      </w:r>
    </w:p>
    <w:p>
      <w:pPr>
        <w:pStyle w:val="ListBullet"/>
      </w:pPr>
      <w:r>
        <w:t>Staff training and awareness policy current</w:t>
      </w:r>
    </w:p>
    <w:p>
      <w:pPr>
        <w:pStyle w:val="ListBullet"/>
      </w:pPr>
      <w:r>
        <w:t>Whistleblowing and tipping-off policy current</w:t>
      </w:r>
    </w:p>
    <w:p>
      <w:pPr>
        <w:pStyle w:val="ListBullet"/>
      </w:pPr>
      <w:r>
        <w:t>New product and business change AML risk assessment procedure current</w:t>
      </w:r>
    </w:p>
    <w:p>
      <w:pPr>
        <w:pStyle w:val="ListBullet"/>
      </w:pPr>
      <w:r>
        <w:t>De-risking and account exit procedure documented</w:t>
      </w:r>
    </w:p>
    <w:p>
      <w:r>
        <w:rPr>
          <w:b/>
        </w:rPr>
        <w:t xml:space="preserve">Date AML policy last approved: </w:t>
      </w:r>
      <w:r>
        <w:t>________________________________________</w:t>
      </w:r>
    </w:p>
    <w:p>
      <w:r>
        <w:rPr>
          <w:b/>
        </w:rPr>
        <w:t xml:space="preserve">Approving body (board / risk committee): </w:t>
      </w:r>
      <w:r>
        <w:t>________________________________________</w:t>
      </w:r>
    </w:p>
    <w:p>
      <w:r>
        <w:rPr>
          <w:b/>
        </w:rPr>
        <w:t xml:space="preserve">Next scheduled policy review date: </w:t>
      </w:r>
      <w:r>
        <w:t>________________________________________</w:t>
      </w:r>
    </w:p>
    <w:p>
      <w:r>
        <w:rPr>
          <w:b/>
        </w:rPr>
        <w:t xml:space="preserve">Document management system or repository location: </w:t>
      </w:r>
      <w:r>
        <w:t>________________________________________</w:t>
      </w:r>
    </w:p>
    <w:p>
      <w:r>
        <w:rPr>
          <w:b/>
        </w:rPr>
        <w:t xml:space="preserve">Number of open policy review actions carried over: </w:t>
      </w:r>
      <w:r>
        <w:t>________________________________________</w:t>
      </w:r>
    </w:p>
    <w:p>
      <w:pPr>
        <w:pStyle w:val="Heading1"/>
      </w:pPr>
      <w:r>
        <w:t>4. Business-Wide and Customer Risk Assessment</w:t>
      </w:r>
    </w:p>
    <w:p>
      <w:r>
        <w:rPr>
          <w:i/>
          <w:sz w:val="18"/>
        </w:rPr>
        <w:t>The outgoing MLRO must brief the incoming MLRO on the current risk profile of the institution and any material changes anticipated. FATF Recommendation 1 and EU AMLD Article 7 require a documented, current Business-Wide Risk Assessment (BWRA). The FFIEC BSA/AML Examination Manual similarly expects an institution-level risk assessment informing all controls.</w:t>
      </w:r>
    </w:p>
    <w:p>
      <w:pPr>
        <w:pStyle w:val="ListBullet"/>
      </w:pPr>
      <w:r>
        <w:t>Current Business-Wide Risk Assessment (BWRA) document handed over</w:t>
      </w:r>
    </w:p>
    <w:p>
      <w:pPr>
        <w:pStyle w:val="ListBullet"/>
      </w:pPr>
      <w:r>
        <w:t>Date of last BWRA review confirmed</w:t>
      </w:r>
    </w:p>
    <w:p>
      <w:pPr>
        <w:pStyle w:val="ListBullet"/>
      </w:pPr>
      <w:r>
        <w:t>Next scheduled BWRA review date confirmed</w:t>
      </w:r>
    </w:p>
    <w:p>
      <w:pPr>
        <w:pStyle w:val="ListBullet"/>
      </w:pPr>
      <w:r>
        <w:t>Customer Risk Assessment (CRA) methodology and scoring model handed over</w:t>
      </w:r>
    </w:p>
    <w:p>
      <w:pPr>
        <w:pStyle w:val="ListBullet"/>
      </w:pPr>
      <w:r>
        <w:t>High-risk customer segments and typologies briefed to incoming MLRO</w:t>
      </w:r>
    </w:p>
    <w:p>
      <w:pPr>
        <w:pStyle w:val="ListBullet"/>
      </w:pPr>
      <w:r>
        <w:t>Geographic risk register (FATF high-risk and monitored jurisdictions) current</w:t>
      </w:r>
    </w:p>
    <w:p>
      <w:pPr>
        <w:pStyle w:val="ListBullet"/>
      </w:pPr>
      <w:r>
        <w:t>Product and channel risk register current</w:t>
      </w:r>
    </w:p>
    <w:p>
      <w:pPr>
        <w:pStyle w:val="ListBullet"/>
      </w:pPr>
      <w:r>
        <w:t>Correspondent and third-party risk assessment current</w:t>
      </w:r>
    </w:p>
    <w:p>
      <w:pPr>
        <w:pStyle w:val="ListBullet"/>
      </w:pPr>
      <w:r>
        <w:t>Regulatory risk assessment (findings from last examination) reviewed</w:t>
      </w:r>
    </w:p>
    <w:p>
      <w:pPr>
        <w:pStyle w:val="ListBullet"/>
      </w:pPr>
      <w:r>
        <w:t>Any open risk remediation actions briefed</w:t>
      </w:r>
    </w:p>
    <w:p>
      <w:r>
        <w:rPr>
          <w:b/>
        </w:rPr>
        <w:t xml:space="preserve">Date of current BWRA: </w:t>
      </w:r>
      <w:r>
        <w:t>________________________________________</w:t>
      </w:r>
    </w:p>
    <w:p>
      <w:r>
        <w:rPr>
          <w:b/>
        </w:rPr>
        <w:t xml:space="preserve">Date of next BWRA review: </w:t>
      </w:r>
      <w:r>
        <w:t>________________________________________</w:t>
      </w:r>
    </w:p>
    <w:p>
      <w:r>
        <w:rPr>
          <w:b/>
        </w:rPr>
        <w:t xml:space="preserve">Number of customers classified high-risk: </w:t>
      </w:r>
      <w:r>
        <w:t>________________________________________</w:t>
      </w:r>
    </w:p>
    <w:p>
      <w:r>
        <w:rPr>
          <w:b/>
        </w:rPr>
        <w:t xml:space="preserve">Number of customers currently under enhanced monitoring: </w:t>
      </w:r>
      <w:r>
        <w:t>________________________________________</w:t>
      </w:r>
    </w:p>
    <w:p>
      <w:r>
        <w:rPr>
          <w:b/>
        </w:rPr>
        <w:t xml:space="preserve">Location of risk assessment documents and models: </w:t>
      </w:r>
      <w:r>
        <w:t>________________________________________</w:t>
      </w:r>
    </w:p>
    <w:p>
      <w:pPr>
        <w:pStyle w:val="Heading1"/>
      </w:pPr>
      <w:r>
        <w:t>5. Suspicious Activity Reporting and Case Management</w:t>
      </w:r>
    </w:p>
    <w:p>
      <w:r>
        <w:rPr>
          <w:i/>
          <w:sz w:val="18"/>
        </w:rPr>
        <w:t>Provide a full briefing on the SAR/STR pipeline, including open internal investigations, submitted reports awaiting FIU response, and any defence to prosecution (DAML) orders in force. All matters must be treated as strictly confidential. Tipping-off restrictions under applicable law (e.g., Proceeds of Crime Act, 31 U.S.C. 5318(g), EU AMLD Article 39) apply to all parties.</w:t>
      </w:r>
    </w:p>
    <w:p>
      <w:pPr>
        <w:pStyle w:val="ListBullet"/>
      </w:pPr>
      <w:r>
        <w:t>Open internal suspicion reports (ISRs) handed over with status summary</w:t>
      </w:r>
    </w:p>
    <w:p>
      <w:pPr>
        <w:pStyle w:val="ListBullet"/>
      </w:pPr>
      <w:r>
        <w:t>SARs submitted to FIU in the past 12 months reviewed (numbers only unless secure channel confirmed)</w:t>
      </w:r>
    </w:p>
    <w:p>
      <w:pPr>
        <w:pStyle w:val="ListBullet"/>
      </w:pPr>
      <w:r>
        <w:t>Any DAML or equivalent consent requests outstanding confirmed</w:t>
      </w:r>
    </w:p>
    <w:p>
      <w:pPr>
        <w:pStyle w:val="ListBullet"/>
      </w:pPr>
      <w:r>
        <w:t>FIU feedback or requests for further information outstanding noted</w:t>
      </w:r>
    </w:p>
    <w:p>
      <w:pPr>
        <w:pStyle w:val="ListBullet"/>
      </w:pPr>
      <w:r>
        <w:t>SAR case management system access transferred to incoming MLRO</w:t>
      </w:r>
    </w:p>
    <w:p>
      <w:pPr>
        <w:pStyle w:val="ListBullet"/>
      </w:pPr>
      <w:r>
        <w:t>Confidentiality of open matters confirmed in writing by both parties</w:t>
      </w:r>
    </w:p>
    <w:p>
      <w:pPr>
        <w:pStyle w:val="ListBullet"/>
      </w:pPr>
      <w:r>
        <w:t>Tipping-off obligations briefed to incoming MLRO</w:t>
      </w:r>
    </w:p>
    <w:p>
      <w:pPr>
        <w:pStyle w:val="ListBullet"/>
      </w:pPr>
      <w:r>
        <w:t>Any law enforcement production orders or court orders in force disclosed</w:t>
      </w:r>
    </w:p>
    <w:p>
      <w:pPr>
        <w:pStyle w:val="ListBullet"/>
      </w:pPr>
      <w:r>
        <w:t>SAR quality assurance process and recent QA results shared</w:t>
      </w:r>
    </w:p>
    <w:p>
      <w:pPr>
        <w:pStyle w:val="ListBullet"/>
      </w:pPr>
      <w:r>
        <w:t>SAR submission trend analysis (volume, type, business line) shared</w:t>
      </w:r>
    </w:p>
    <w:p>
      <w:r>
        <w:rPr>
          <w:b/>
        </w:rPr>
        <w:t xml:space="preserve">Total SARs submitted in current reporting year: </w:t>
      </w:r>
      <w:r>
        <w:t>________________________________________</w:t>
      </w:r>
    </w:p>
    <w:p>
      <w:r>
        <w:rPr>
          <w:b/>
        </w:rPr>
        <w:t xml:space="preserve">Number of open internal investigations at handover date: </w:t>
      </w:r>
      <w:r>
        <w:t>________________________________________</w:t>
      </w:r>
    </w:p>
    <w:p>
      <w:r>
        <w:rPr>
          <w:b/>
        </w:rPr>
        <w:t xml:space="preserve">Number of DAML or consent requests outstanding: </w:t>
      </w:r>
      <w:r>
        <w:t>________________________________________</w:t>
      </w:r>
    </w:p>
    <w:p>
      <w:r>
        <w:rPr>
          <w:b/>
        </w:rPr>
        <w:t xml:space="preserve">FIU or law enforcement liaison contact details: </w:t>
      </w:r>
      <w:r>
        <w:t>________________________________________</w:t>
      </w:r>
    </w:p>
    <w:p>
      <w:r>
        <w:rPr>
          <w:b/>
        </w:rPr>
        <w:t xml:space="preserve">Case management system name and access credentials process: </w:t>
      </w:r>
      <w:r>
        <w:t>________________________________________</w:t>
      </w:r>
    </w:p>
    <w:p>
      <w:r>
        <w:rPr>
          <w:b/>
        </w:rPr>
        <w:t xml:space="preserve">Date of most recent SAR QA review: </w:t>
      </w:r>
      <w:r>
        <w:t>________________________________________</w:t>
      </w:r>
    </w:p>
    <w:p>
      <w:pPr>
        <w:pStyle w:val="Heading1"/>
      </w:pPr>
      <w:r>
        <w:t>6. Transaction Monitoring and Screening</w:t>
      </w:r>
    </w:p>
    <w:p>
      <w:r>
        <w:rPr>
          <w:i/>
          <w:sz w:val="18"/>
        </w:rPr>
        <w:t>Document the current state of automated transaction monitoring and sanctions/PEP screening systems. Regulators including FinCEN, OCC, FCA, and the EBA expect documented rationale for alert thresholds, regular model validation, and timely alert disposition. FATF Recommendation 10 and R.20 underpin ongoing monitoring obligations.</w:t>
      </w:r>
    </w:p>
    <w:p>
      <w:pPr>
        <w:pStyle w:val="ListBullet"/>
      </w:pPr>
      <w:r>
        <w:t>Alert threshold rationale documented and handed over</w:t>
      </w:r>
    </w:p>
    <w:p>
      <w:pPr>
        <w:pStyle w:val="ListBullet"/>
      </w:pPr>
      <w:r>
        <w:t>Last model validation report shared with incoming MLRO</w:t>
      </w:r>
    </w:p>
    <w:p>
      <w:pPr>
        <w:pStyle w:val="ListBullet"/>
      </w:pPr>
      <w:r>
        <w:t>Open tuning or calibration projects briefed</w:t>
      </w:r>
    </w:p>
    <w:p>
      <w:pPr>
        <w:pStyle w:val="ListBullet"/>
      </w:pPr>
      <w:r>
        <w:t>False positive and escalation rates for past 12 months shared</w:t>
      </w:r>
    </w:p>
    <w:p>
      <w:pPr>
        <w:pStyle w:val="ListBullet"/>
      </w:pPr>
      <w:r>
        <w:t>Sanctions list update schedule and responsible team confirmed</w:t>
      </w:r>
    </w:p>
    <w:p>
      <w:pPr>
        <w:pStyle w:val="ListBullet"/>
      </w:pPr>
      <w:r>
        <w:t>Any system outage or degraded-screening incidents in past 12 months disclosed</w:t>
      </w:r>
    </w:p>
    <w:p>
      <w:pPr>
        <w:pStyle w:val="ListBullet"/>
      </w:pPr>
      <w:r>
        <w:t>Outsourced screening arrangements and third-party contracts reviewed</w:t>
      </w:r>
    </w:p>
    <w:p>
      <w:pPr>
        <w:pStyle w:val="ListBullet"/>
      </w:pPr>
      <w:r>
        <w:t>Data feeds and system integration map handed over</w:t>
      </w:r>
    </w:p>
    <w:p>
      <w:r>
        <w:rPr>
          <w:b/>
        </w:rPr>
        <w:t xml:space="preserve">Date of last transaction monitoring model validation: </w:t>
      </w:r>
      <w:r>
        <w:t>________________________________________</w:t>
      </w:r>
    </w:p>
    <w:p>
      <w:r>
        <w:rPr>
          <w:b/>
        </w:rPr>
        <w:t xml:space="preserve">Next scheduled model validation date: </w:t>
      </w:r>
      <w:r>
        <w:t>________________________________________</w:t>
      </w:r>
    </w:p>
    <w:p>
      <w:r>
        <w:rPr>
          <w:b/>
        </w:rPr>
        <w:t xml:space="preserve">Current monthly alert volume (approximate): </w:t>
      </w:r>
      <w:r>
        <w:t>________________________________________</w:t>
      </w:r>
    </w:p>
    <w:p>
      <w:r>
        <w:rPr>
          <w:b/>
        </w:rPr>
        <w:t xml:space="preserve">Alert disposition rate (percentage closed without escalation): </w:t>
      </w:r>
      <w:r>
        <w:t>________________________________________</w:t>
      </w:r>
    </w:p>
    <w:p>
      <w:r>
        <w:rPr>
          <w:b/>
        </w:rPr>
        <w:t xml:space="preserve">Number of open alerts at handover date: </w:t>
      </w:r>
      <w:r>
        <w:t>________________________________________</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System / Tool</w:t>
            </w:r>
          </w:p>
        </w:tc>
        <w:tc>
          <w:tcPr>
            <w:tcW w:type="dxa" w:w="1440"/>
          </w:tcPr>
          <w:p>
            <w:r>
              <w:rPr>
                <w:b/>
              </w:rPr>
              <w:t>Vendor</w:t>
            </w:r>
          </w:p>
        </w:tc>
        <w:tc>
          <w:tcPr>
            <w:tcW w:type="dxa" w:w="1440"/>
          </w:tcPr>
          <w:p>
            <w:r>
              <w:rPr>
                <w:b/>
              </w:rPr>
              <w:t>Version</w:t>
            </w:r>
          </w:p>
        </w:tc>
        <w:tc>
          <w:tcPr>
            <w:tcW w:type="dxa" w:w="1440"/>
          </w:tcPr>
          <w:p>
            <w:r>
              <w:rPr>
                <w:b/>
              </w:rPr>
              <w:t>Last Validated</w:t>
            </w:r>
          </w:p>
        </w:tc>
        <w:tc>
          <w:tcPr>
            <w:tcW w:type="dxa" w:w="1440"/>
          </w:tcPr>
          <w:p>
            <w:r>
              <w:rPr>
                <w:b/>
              </w:rPr>
              <w:t>Next Review</w:t>
            </w:r>
          </w:p>
        </w:tc>
        <w:tc>
          <w:tcPr>
            <w:tcW w:type="dxa" w:w="1440"/>
          </w:tcPr>
          <w:p>
            <w:r>
              <w:rPr>
                <w:b/>
              </w:rPr>
              <w:t>Owner Contact</w:t>
            </w:r>
          </w:p>
        </w:tc>
      </w:tr>
      <w:tr>
        <w:tc>
          <w:tcPr>
            <w:tcW w:type="dxa" w:w="1440"/>
          </w:tcPr>
          <w:p>
            <w:r>
              <w:t>Transaction monitoring system</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Sanctions screening system</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PEP and adverse media screening</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Name matching / fuzzy logic engine</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Case management platform</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Regulatory reporting tool</w:t>
            </w:r>
          </w:p>
        </w:tc>
        <w:tc>
          <w:tcPr>
            <w:tcW w:type="dxa" w:w="1440"/>
          </w:tcPr>
          <w:p>
            <w:r/>
          </w:p>
        </w:tc>
        <w:tc>
          <w:tcPr>
            <w:tcW w:type="dxa" w:w="1440"/>
          </w:tcPr>
          <w:p>
            <w:r/>
          </w:p>
        </w:tc>
        <w:tc>
          <w:tcPr>
            <w:tcW w:type="dxa" w:w="1440"/>
          </w:tcPr>
          <w:p>
            <w:r/>
          </w:p>
        </w:tc>
        <w:tc>
          <w:tcPr>
            <w:tcW w:type="dxa" w:w="1440"/>
          </w:tcPr>
          <w:p>
            <w:r/>
          </w:p>
        </w:tc>
        <w:tc>
          <w:tcPr>
            <w:tcW w:type="dxa" w:w="1440"/>
          </w:tcPr>
          <w:p>
            <w:r>
              <w:t xml:space="preserve"> </w:t>
            </w:r>
          </w:p>
        </w:tc>
      </w:tr>
    </w:tbl>
    <w:p>
      <w:pPr>
        <w:pStyle w:val="Heading1"/>
      </w:pPr>
      <w:r>
        <w:t>7. Customer Due Diligence and Onboarding Controls</w:t>
      </w:r>
    </w:p>
    <w:p>
      <w:r>
        <w:rPr>
          <w:i/>
          <w:sz w:val="18"/>
        </w:rPr>
        <w:t>Brief the incoming MLRO on the CDD lifecycle, including onboarding controls, periodic review triggers, and EDD processes for high-risk customers. FATF Recommendations 10 to 13 and EU AMLD Articles 11 to 24 set the international minimum standard. FinCEN Customer Due Diligence Rule (31 CFR 1010.230) applies to covered US institutions.</w:t>
      </w:r>
    </w:p>
    <w:p>
      <w:pPr>
        <w:pStyle w:val="ListBullet"/>
      </w:pPr>
      <w:r>
        <w:t>CDD onboarding procedure and risk-tiering methodology handed over</w:t>
      </w:r>
    </w:p>
    <w:p>
      <w:pPr>
        <w:pStyle w:val="ListBullet"/>
      </w:pPr>
      <w:r>
        <w:t>EDD trigger criteria and approval process confirmed</w:t>
      </w:r>
    </w:p>
    <w:p>
      <w:pPr>
        <w:pStyle w:val="ListBullet"/>
      </w:pPr>
      <w:r>
        <w:t>Beneficial ownership identification and verification process confirmed (FATF R.10, FinCEN CDD Rule)</w:t>
      </w:r>
    </w:p>
    <w:p>
      <w:pPr>
        <w:pStyle w:val="ListBullet"/>
      </w:pPr>
      <w:r>
        <w:t>Periodic review schedule and overdue review report handed over</w:t>
      </w:r>
    </w:p>
    <w:p>
      <w:pPr>
        <w:pStyle w:val="ListBullet"/>
      </w:pPr>
      <w:r>
        <w:t>List of accounts with outstanding CDD or expired documentation provided</w:t>
      </w:r>
    </w:p>
    <w:p>
      <w:pPr>
        <w:pStyle w:val="ListBullet"/>
      </w:pPr>
      <w:r>
        <w:t>Correspondent banking due diligence files handed over</w:t>
      </w:r>
    </w:p>
    <w:p>
      <w:pPr>
        <w:pStyle w:val="ListBullet"/>
      </w:pPr>
      <w:r>
        <w:t>Shell company and complex structure escalation procedure confirmed</w:t>
      </w:r>
    </w:p>
    <w:p>
      <w:pPr>
        <w:pStyle w:val="ListBullet"/>
      </w:pPr>
      <w:r>
        <w:t>PEP approval authority (senior management sign-off requirement) confirmed</w:t>
      </w:r>
    </w:p>
    <w:p>
      <w:pPr>
        <w:pStyle w:val="ListBullet"/>
      </w:pPr>
      <w:r>
        <w:t>Reliance on third-party CDD arrangements documented and contracts reviewed</w:t>
      </w:r>
    </w:p>
    <w:p>
      <w:pPr>
        <w:pStyle w:val="ListBullet"/>
      </w:pPr>
      <w:r>
        <w:t>Exit and de-risking decision log handed over</w:t>
      </w:r>
    </w:p>
    <w:p>
      <w:r>
        <w:rPr>
          <w:b/>
        </w:rPr>
        <w:t xml:space="preserve">Number of customers with overdue periodic CDD review: </w:t>
      </w:r>
      <w:r>
        <w:t>________________________________________</w:t>
      </w:r>
    </w:p>
    <w:p>
      <w:r>
        <w:rPr>
          <w:b/>
        </w:rPr>
        <w:t xml:space="preserve">Number of accounts on enhanced monitoring at handover date: </w:t>
      </w:r>
      <w:r>
        <w:t>________________________________________</w:t>
      </w:r>
    </w:p>
    <w:p>
      <w:r>
        <w:rPr>
          <w:b/>
        </w:rPr>
        <w:t xml:space="preserve">Number of accounts pending EDD completion: </w:t>
      </w:r>
      <w:r>
        <w:t>________________________________________</w:t>
      </w:r>
    </w:p>
    <w:p>
      <w:r>
        <w:rPr>
          <w:b/>
        </w:rPr>
        <w:t xml:space="preserve">Location of CDD records and document management system: </w:t>
      </w:r>
      <w:r>
        <w:t>________________________________________</w:t>
      </w:r>
    </w:p>
    <w:p>
      <w:r>
        <w:rPr>
          <w:b/>
        </w:rPr>
        <w:t xml:space="preserve">Date of last CDD file quality assurance review: </w:t>
      </w:r>
      <w:r>
        <w:t>________________________________________</w:t>
      </w:r>
    </w:p>
    <w:p>
      <w:pPr>
        <w:pStyle w:val="Heading1"/>
      </w:pPr>
      <w:r>
        <w:t>8. Training, Competency, and Staffing</w:t>
      </w:r>
    </w:p>
    <w:p>
      <w:r>
        <w:rPr>
          <w:i/>
          <w:sz w:val="18"/>
        </w:rPr>
        <w:t>The incoming MLRO is responsible for ensuring all relevant staff receive adequate and role-appropriate AML/CFT training. FATF Recommendation 18 and EU AMLD Article 46 require ongoing training programs. The OCC and FinCEN expect training to be tailored to staff function and updated to reflect emerging typologies. Hand over all training records and scheduled activities.</w:t>
      </w:r>
    </w:p>
    <w:p>
      <w:pPr>
        <w:pStyle w:val="ListBullet"/>
      </w:pPr>
      <w:r>
        <w:t>Training needs analysis for current period handed over</w:t>
      </w:r>
    </w:p>
    <w:p>
      <w:pPr>
        <w:pStyle w:val="ListBullet"/>
      </w:pPr>
      <w:r>
        <w:t>Staff training completion records for past 12 months handed over</w:t>
      </w:r>
    </w:p>
    <w:p>
      <w:pPr>
        <w:pStyle w:val="ListBullet"/>
      </w:pPr>
      <w:r>
        <w:t>Outstanding mandatory training actions identified and timeline confirmed</w:t>
      </w:r>
    </w:p>
    <w:p>
      <w:pPr>
        <w:pStyle w:val="ListBullet"/>
      </w:pPr>
      <w:r>
        <w:t>Training content last review date and update schedule confirmed</w:t>
      </w:r>
    </w:p>
    <w:p>
      <w:pPr>
        <w:pStyle w:val="ListBullet"/>
      </w:pPr>
      <w:r>
        <w:t>New joiner AML induction process documented</w:t>
      </w:r>
    </w:p>
    <w:p>
      <w:pPr>
        <w:pStyle w:val="ListBullet"/>
      </w:pPr>
      <w:r>
        <w:t>Refresher training schedule for coming 12 months handed over</w:t>
      </w:r>
    </w:p>
    <w:p>
      <w:pPr>
        <w:pStyle w:val="ListBullet"/>
      </w:pPr>
      <w:r>
        <w:t>Specialist training for high-risk roles (relationship managers, compliance staff) confirmed</w:t>
      </w:r>
    </w:p>
    <w:p>
      <w:pPr>
        <w:pStyle w:val="ListBullet"/>
      </w:pPr>
      <w:r>
        <w:t>Board and senior management AML awareness briefing schedule confirmed</w:t>
      </w:r>
    </w:p>
    <w:p>
      <w:pPr>
        <w:pStyle w:val="ListBullet"/>
      </w:pPr>
      <w:r>
        <w:t>Third-party training provider contracts and SLAs reviewed</w:t>
      </w:r>
    </w:p>
    <w:p>
      <w:pPr>
        <w:pStyle w:val="ListBullet"/>
      </w:pPr>
      <w:r>
        <w:t>Training management system access transferred</w:t>
      </w:r>
    </w:p>
    <w:p>
      <w:r>
        <w:rPr>
          <w:b/>
        </w:rPr>
        <w:t xml:space="preserve">Overall staff AML training completion rate (current year): </w:t>
      </w:r>
      <w:r>
        <w:t>________________________________________</w:t>
      </w:r>
    </w:p>
    <w:p>
      <w:r>
        <w:rPr>
          <w:b/>
        </w:rPr>
        <w:t xml:space="preserve">Number of staff with overdue mandatory training: </w:t>
      </w:r>
      <w:r>
        <w:t>________________________________________</w:t>
      </w:r>
    </w:p>
    <w:p>
      <w:r>
        <w:rPr>
          <w:b/>
        </w:rPr>
        <w:t xml:space="preserve">Date of last board-level AML briefing: </w:t>
      </w:r>
      <w:r>
        <w:t>________________________________________</w:t>
      </w:r>
    </w:p>
    <w:p>
      <w:r>
        <w:rPr>
          <w:b/>
        </w:rPr>
        <w:t xml:space="preserve">Training management system name: </w:t>
      </w:r>
      <w:r>
        <w:t>________________________________________</w:t>
      </w:r>
    </w:p>
    <w:p>
      <w:r>
        <w:rPr>
          <w:b/>
        </w:rPr>
        <w:t xml:space="preserve">Next scheduled mandatory training completion deadline: </w:t>
      </w:r>
      <w:r>
        <w:t>________________________________________</w:t>
      </w:r>
    </w:p>
    <w:p>
      <w:pPr>
        <w:pStyle w:val="Heading1"/>
      </w:pPr>
      <w:r>
        <w:t>9. Regulatory Examinations, Audits, and Enforcement</w:t>
      </w:r>
    </w:p>
    <w:p>
      <w:r>
        <w:rPr>
          <w:i/>
          <w:sz w:val="18"/>
        </w:rPr>
        <w:t>Provide a complete picture of regulatory scrutiny, internal audit findings, and any enforcement or remediation activity. The incoming MLRO must be aware of all open commitments to regulators. Do not omit any matter subject to confidentiality order without legal advice on disclosure obligations to the incoming appointee.</w:t>
      </w:r>
    </w:p>
    <w:p>
      <w:pPr>
        <w:pStyle w:val="ListBullet"/>
      </w:pPr>
      <w:r>
        <w:t>Last AML/CFT regulatory examination report and findings shared</w:t>
      </w:r>
    </w:p>
    <w:p>
      <w:pPr>
        <w:pStyle w:val="ListBullet"/>
      </w:pPr>
      <w:r>
        <w:t>All open regulatory commitments and agreed remediation actions handed over with deadlines</w:t>
      </w:r>
    </w:p>
    <w:p>
      <w:pPr>
        <w:pStyle w:val="ListBullet"/>
      </w:pPr>
      <w:r>
        <w:t>Most recent internal audit AML report and management responses shared</w:t>
      </w:r>
    </w:p>
    <w:p>
      <w:pPr>
        <w:pStyle w:val="ListBullet"/>
      </w:pPr>
      <w:r>
        <w:t>Any open issues raised by external audit shared</w:t>
      </w:r>
    </w:p>
    <w:p>
      <w:pPr>
        <w:pStyle w:val="ListBullet"/>
      </w:pPr>
      <w:r>
        <w:t>Regulatory correspondence file for past 24 months handed over</w:t>
      </w:r>
    </w:p>
    <w:p>
      <w:pPr>
        <w:pStyle w:val="ListBullet"/>
      </w:pPr>
      <w:r>
        <w:t>Any enforcement action, civil monetary penalty, or consent order disclosed</w:t>
      </w:r>
    </w:p>
    <w:p>
      <w:pPr>
        <w:pStyle w:val="ListBullet"/>
      </w:pPr>
      <w:r>
        <w:t>Material audit committee or board-level AML findings from past 12 months disclosed</w:t>
      </w:r>
    </w:p>
    <w:p>
      <w:pPr>
        <w:pStyle w:val="ListBullet"/>
      </w:pPr>
      <w:r>
        <w:t>Whistleblowing complaints with AML nexus reviewed</w:t>
      </w:r>
    </w:p>
    <w:p>
      <w:pPr>
        <w:pStyle w:val="ListBullet"/>
      </w:pPr>
      <w:r>
        <w:t>Any pending regulatory visits or thematic reviews notified</w:t>
      </w:r>
    </w:p>
    <w:p>
      <w:pPr>
        <w:pStyle w:val="ListBullet"/>
      </w:pPr>
      <w:r>
        <w:t>Remediation project plans and milestones handed over</w:t>
      </w:r>
    </w:p>
    <w:p>
      <w:r>
        <w:rPr>
          <w:b/>
        </w:rPr>
        <w:t xml:space="preserve">Date of last regulatory AML examination: </w:t>
      </w:r>
      <w:r>
        <w:t>________________________________________</w:t>
      </w:r>
    </w:p>
    <w:p>
      <w:r>
        <w:rPr>
          <w:b/>
        </w:rPr>
        <w:t xml:space="preserve">Regulator lead contact name and reference: </w:t>
      </w:r>
      <w:r>
        <w:t>________________________________________</w:t>
      </w:r>
    </w:p>
    <w:p>
      <w:r>
        <w:rPr>
          <w:b/>
        </w:rPr>
        <w:t xml:space="preserve">Number of open regulatory commitments at handover date: </w:t>
      </w:r>
      <w:r>
        <w:t>________________________________________</w:t>
      </w:r>
    </w:p>
    <w:p>
      <w:r>
        <w:rPr>
          <w:b/>
        </w:rPr>
        <w:t xml:space="preserve">Number of open internal audit AML findings: </w:t>
      </w:r>
      <w:r>
        <w:t>________________________________________</w:t>
      </w:r>
    </w:p>
    <w:p>
      <w:r>
        <w:rPr>
          <w:b/>
        </w:rPr>
        <w:t xml:space="preserve">Date of next scheduled audit or regulatory visit: </w:t>
      </w:r>
      <w:r>
        <w:t>________________________________________</w:t>
      </w:r>
    </w:p>
    <w:p>
      <w:r>
        <w:rPr>
          <w:b/>
        </w:rPr>
        <w:t xml:space="preserve">Enforcement actions in force (yes / no; if yes, attach reference): </w:t>
      </w:r>
      <w:r>
        <w:t>________________________________________</w:t>
      </w:r>
    </w:p>
    <w:p>
      <w:pPr>
        <w:pStyle w:val="Heading1"/>
      </w:pPr>
      <w:r>
        <w:t>10. Handover Sign-Off and Continuity Confirmation</w:t>
      </w:r>
    </w:p>
    <w:p>
      <w:r>
        <w:rPr>
          <w:i/>
          <w:sz w:val="18"/>
        </w:rPr>
        <w:t>Both parties must sign this section to confirm that the handover has been completed to the best of their knowledge, that no material matter has been intentionally withheld, and that the incoming MLRO accepts responsibility for the AML/CFT function from the effective date. Retain this page as a standalone document on the compliance file. Where either party has reservations, record them in the notes field before signing.</w:t>
      </w:r>
    </w:p>
    <w:p>
      <w:r>
        <w:t>By signing below, the outgoing MLRO confirms that all material information within their knowledge has been disclosed. The incoming MLRO confirms receipt and acceptance of the responsibilities of the MLRO role from the effective date stated. Both parties confirm they have been given reasonable time and access to complete this handover.</w:t>
      </w:r>
    </w:p>
    <w:p>
      <w:r>
        <w:rPr>
          <w:b/>
        </w:rPr>
        <w:t xml:space="preserve">Outgoing MLRO full name: </w:t>
      </w:r>
      <w:r>
        <w:t>________________________________________</w:t>
      </w:r>
    </w:p>
    <w:p>
      <w:r>
        <w:rPr>
          <w:b/>
        </w:rPr>
        <w:t xml:space="preserve">Outgoing MLRO signature: </w:t>
      </w:r>
      <w:r>
        <w:t>________________________________________</w:t>
      </w:r>
    </w:p>
    <w:p>
      <w:r>
        <w:rPr>
          <w:b/>
        </w:rPr>
        <w:t xml:space="preserve">Outgoing MLRO date: </w:t>
      </w:r>
      <w:r>
        <w:t>________________________________________</w:t>
      </w:r>
    </w:p>
    <w:p>
      <w:r>
        <w:rPr>
          <w:b/>
        </w:rPr>
        <w:t xml:space="preserve">Incoming MLRO full name: </w:t>
      </w:r>
      <w:r>
        <w:t>________________________________________</w:t>
      </w:r>
    </w:p>
    <w:p>
      <w:r>
        <w:rPr>
          <w:b/>
        </w:rPr>
        <w:t xml:space="preserve">Incoming MLRO signature: </w:t>
      </w:r>
      <w:r>
        <w:t>________________________________________</w:t>
      </w:r>
    </w:p>
    <w:p>
      <w:r>
        <w:rPr>
          <w:b/>
        </w:rPr>
        <w:t xml:space="preserve">Incoming MLRO date: </w:t>
      </w:r>
      <w:r>
        <w:t>________________________________________</w:t>
      </w:r>
    </w:p>
    <w:p>
      <w:r>
        <w:rPr>
          <w:b/>
        </w:rPr>
        <w:t xml:space="preserve">Witnessed by (name and title): </w:t>
      </w:r>
      <w:r>
        <w:t>________________________________________</w:t>
      </w:r>
    </w:p>
    <w:p>
      <w:r>
        <w:rPr>
          <w:b/>
        </w:rPr>
        <w:t xml:space="preserve">Witness signature: </w:t>
      </w:r>
      <w:r>
        <w:t>________________________________________</w:t>
      </w:r>
    </w:p>
    <w:p>
      <w:r>
        <w:rPr>
          <w:b/>
        </w:rPr>
        <w:t xml:space="preserve">Witness date: </w:t>
      </w:r>
      <w:r>
        <w:t>________________________________________</w:t>
      </w:r>
    </w:p>
    <w:p>
      <w:r>
        <w:rPr>
          <w:b/>
        </w:rPr>
        <w:t xml:space="preserve">Effective date of handover: </w:t>
      </w:r>
      <w:r>
        <w:t>________________________________________</w:t>
      </w:r>
    </w:p>
    <w:p>
      <w:r>
        <w:rPr>
          <w:b/>
        </w:rPr>
        <w:t xml:space="preserve">Notes or reservations recorded by either party: </w:t>
      </w:r>
      <w:r>
        <w:t>________________________________________</w:t>
      </w:r>
    </w:p>
    <w:p>
      <w:r>
        <w:rPr>
          <w:b/>
        </w:rPr>
        <w:t xml:space="preserve">Location of completed checklist on compliance file: </w:t>
      </w:r>
      <w:r>
        <w:t>________________________________________</w:t>
      </w:r>
    </w:p>
    <w:p/>
    <w:p>
      <w:r>
        <w:rPr>
          <w:color w:val="6B7280"/>
          <w:sz w:val="16"/>
        </w:rPr>
        <w:t>Template provided by FluxForce (fluxforce.ai). For guidance only; adapt to your own regulatory obligations.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